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SENTENÇA JUDICIAL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 xml:space="preserve">Ao Serviço de Distribuição de Título. 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da SENTENÇA JUDICIAL 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 xml:space="preserve">SENTENÇA JUDICIAL (Certidão da decisão – Artigo 517, </w:t>
      </w:r>
      <w:r>
        <w:rPr>
          <w:rFonts w:cs="Calibri" w:ascii="Calibri" w:hAnsi="Calibri"/>
          <w:b/>
          <w:bCs/>
          <w:sz w:val="18"/>
          <w:szCs w:val="18"/>
        </w:rPr>
        <w:t>§1 do CPC)</w:t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SACADO/REU RECLAMADO: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DO PROCESSO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>VARA: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>DATA DO TRÂNSITO EM JULGAMENTO DA SENTENÇA: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>DATA DA HOMOLOGAÇÃO DA DÍVIDA: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Fonts w:cs="Tahoma" w:ascii="Calibri" w:hAnsi="Calibri"/>
          <w:sz w:val="20"/>
          <w:szCs w:val="20"/>
        </w:rPr>
        <w:t>Declaro para os devidos fins de direito, que a documentação comprobatória do processo original encontra-se em nosso poder e quando necessário será apresentada em qualquer juízo.</w:t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20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417" w:top="474" w:footer="406" w:bottom="46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LibreOffice/7.5.4.2$Windows_X86_64 LibreOffice_project/36ccfdc35048b057fd9854c757a8b67ec53977b6</Application>
  <AppVersion>15.0000</AppVersion>
  <Pages>2</Pages>
  <Words>292</Words>
  <Characters>1834</Characters>
  <CharactersWithSpaces>2172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2023-07-19T11:30:55Z</dcterms:modified>
  <cp:revision>23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